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697EB0F5"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4D68F9">
        <w:rPr>
          <w:rFonts w:ascii="Arial" w:hAnsi="Arial" w:cs="Arial"/>
          <w:b/>
          <w:sz w:val="24"/>
          <w:szCs w:val="28"/>
          <w:lang w:val="en-US"/>
        </w:rPr>
        <w:t>5</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3D6838" w:rsidRPr="001D2FBF">
        <w:rPr>
          <w:rFonts w:ascii="Arial" w:hAnsi="Arial" w:cs="Arial"/>
          <w:b/>
          <w:sz w:val="24"/>
          <w:szCs w:val="28"/>
          <w:lang w:val="en-US"/>
        </w:rPr>
        <w:t>0</w:t>
      </w:r>
      <w:r w:rsidR="00B823CA">
        <w:rPr>
          <w:rFonts w:ascii="Arial" w:hAnsi="Arial" w:cs="Arial"/>
          <w:b/>
          <w:sz w:val="24"/>
          <w:szCs w:val="28"/>
          <w:lang w:val="en-US"/>
        </w:rPr>
        <w:t>0</w:t>
      </w:r>
      <w:r w:rsidR="00BA45AD">
        <w:rPr>
          <w:rFonts w:ascii="Arial" w:hAnsi="Arial" w:cs="Arial"/>
          <w:b/>
          <w:sz w:val="24"/>
          <w:szCs w:val="28"/>
          <w:lang w:val="en-US"/>
        </w:rPr>
        <w:t>8000</w:t>
      </w:r>
    </w:p>
    <w:p w14:paraId="60407F1B" w14:textId="2BD8DD73"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May 25-June 05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25590F8B" w14:textId="1F6BB2FA"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971BAF" w:rsidRPr="001D2FBF">
        <w:rPr>
          <w:rFonts w:ascii="Arial" w:hAnsi="Arial" w:cs="Arial"/>
          <w:sz w:val="22"/>
          <w:szCs w:val="22"/>
          <w:lang w:val="en-US"/>
        </w:rPr>
        <w:t>6.</w:t>
      </w:r>
      <w:r w:rsidR="00662DE9" w:rsidRPr="001D2FBF">
        <w:rPr>
          <w:rFonts w:ascii="Arial" w:hAnsi="Arial" w:cs="Arial"/>
          <w:sz w:val="22"/>
          <w:szCs w:val="22"/>
          <w:lang w:val="en-US"/>
        </w:rPr>
        <w:t>20</w:t>
      </w:r>
      <w:r w:rsidR="00971BAF" w:rsidRPr="001D2FBF">
        <w:rPr>
          <w:rFonts w:ascii="Arial" w:hAnsi="Arial" w:cs="Arial"/>
          <w:sz w:val="22"/>
          <w:szCs w:val="22"/>
          <w:lang w:val="en-US"/>
        </w:rPr>
        <w:t>.</w:t>
      </w:r>
      <w:r w:rsidR="00662DE9" w:rsidRPr="001D2FBF">
        <w:rPr>
          <w:rFonts w:ascii="Arial" w:hAnsi="Arial" w:cs="Arial"/>
          <w:sz w:val="22"/>
          <w:szCs w:val="22"/>
          <w:lang w:val="en-US"/>
        </w:rPr>
        <w:t>1</w:t>
      </w:r>
    </w:p>
    <w:p w14:paraId="64B60E14" w14:textId="77777777"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05D8B370"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68F9" w:rsidRPr="004D68F9">
        <w:rPr>
          <w:rFonts w:ascii="Arial" w:hAnsi="Arial" w:cs="Arial"/>
          <w:sz w:val="22"/>
          <w:szCs w:val="22"/>
        </w:rPr>
        <w:t>On defining 2-step RA</w:t>
      </w:r>
      <w:r w:rsidR="00D6530A">
        <w:rPr>
          <w:rFonts w:ascii="Arial" w:hAnsi="Arial" w:cs="Arial"/>
          <w:sz w:val="22"/>
          <w:szCs w:val="22"/>
        </w:rPr>
        <w:t xml:space="preserve"> and 4-step RA </w:t>
      </w:r>
      <w:r w:rsidR="004D68F9" w:rsidRPr="004D68F9">
        <w:rPr>
          <w:rFonts w:ascii="Arial" w:hAnsi="Arial" w:cs="Arial"/>
          <w:sz w:val="22"/>
          <w:szCs w:val="22"/>
        </w:rPr>
        <w:t xml:space="preserve">in </w:t>
      </w:r>
      <w:proofErr w:type="spellStart"/>
      <w:r w:rsidR="004D68F9" w:rsidRPr="004D68F9">
        <w:rPr>
          <w:rFonts w:ascii="Arial" w:hAnsi="Arial" w:cs="Arial"/>
          <w:sz w:val="22"/>
          <w:szCs w:val="22"/>
        </w:rPr>
        <w:t>exisitng</w:t>
      </w:r>
      <w:proofErr w:type="spellEnd"/>
      <w:r w:rsidR="004D68F9" w:rsidRPr="004D68F9">
        <w:rPr>
          <w:rFonts w:ascii="Arial" w:hAnsi="Arial" w:cs="Arial"/>
          <w:sz w:val="22"/>
          <w:szCs w:val="22"/>
        </w:rPr>
        <w:t xml:space="preserve"> RRM requirements</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2355E56" w14:textId="3D72633A" w:rsidR="00416F7B" w:rsidRDefault="009828FE" w:rsidP="009C7EA1">
      <w:pPr>
        <w:spacing w:before="120" w:after="0"/>
        <w:rPr>
          <w:sz w:val="22"/>
          <w:szCs w:val="22"/>
          <w:lang w:val="en-US"/>
        </w:rPr>
      </w:pPr>
      <w:r w:rsidRPr="001D2FBF">
        <w:rPr>
          <w:sz w:val="22"/>
          <w:szCs w:val="22"/>
          <w:lang w:val="en-US"/>
        </w:rPr>
        <w:t xml:space="preserve">In </w:t>
      </w:r>
      <w:r w:rsidR="00772A6D">
        <w:rPr>
          <w:sz w:val="22"/>
          <w:szCs w:val="22"/>
          <w:lang w:val="en-US"/>
        </w:rPr>
        <w:t>RAN4#94-ebis</w:t>
      </w:r>
      <w:r w:rsidR="00416F7B" w:rsidRPr="001D2FBF">
        <w:rPr>
          <w:sz w:val="22"/>
          <w:szCs w:val="22"/>
          <w:lang w:val="en-US"/>
        </w:rPr>
        <w:t xml:space="preserve"> </w:t>
      </w:r>
      <w:r w:rsidR="00772A6D">
        <w:rPr>
          <w:sz w:val="22"/>
          <w:szCs w:val="22"/>
          <w:lang w:val="en-US"/>
        </w:rPr>
        <w:t xml:space="preserve">the </w:t>
      </w:r>
      <w:r w:rsidR="00772A6D" w:rsidRPr="00772A6D">
        <w:rPr>
          <w:sz w:val="22"/>
          <w:szCs w:val="22"/>
          <w:lang w:val="en-US"/>
        </w:rPr>
        <w:t xml:space="preserve">impact of 2-step RACH on the existing RRM requirements </w:t>
      </w:r>
      <w:r w:rsidR="00772A6D">
        <w:rPr>
          <w:sz w:val="22"/>
          <w:szCs w:val="22"/>
          <w:lang w:val="en-US"/>
        </w:rPr>
        <w:t>was studied and following was agreed as captured in the WF [1]:</w:t>
      </w:r>
      <w:r w:rsidR="00416F7B" w:rsidRPr="001D2FBF">
        <w:rPr>
          <w:sz w:val="22"/>
          <w:szCs w:val="22"/>
          <w:lang w:val="en-US"/>
        </w:rPr>
        <w:t xml:space="preserve"> </w:t>
      </w:r>
    </w:p>
    <w:p w14:paraId="42EEE8E1" w14:textId="6268E484" w:rsidR="00772A6D" w:rsidRDefault="00772A6D" w:rsidP="009C7EA1">
      <w:pPr>
        <w:spacing w:before="120" w:after="0"/>
        <w:rPr>
          <w:sz w:val="22"/>
          <w:szCs w:val="22"/>
          <w:lang w:val="en-US"/>
        </w:rPr>
      </w:pPr>
    </w:p>
    <w:p w14:paraId="63E7F3A2" w14:textId="77777777" w:rsidR="00772A6D" w:rsidRPr="00772A6D" w:rsidRDefault="00772A6D" w:rsidP="00772A6D">
      <w:pPr>
        <w:numPr>
          <w:ilvl w:val="0"/>
          <w:numId w:val="20"/>
        </w:numPr>
        <w:pBdr>
          <w:top w:val="single" w:sz="4" w:space="1" w:color="auto"/>
        </w:pBdr>
        <w:tabs>
          <w:tab w:val="num" w:pos="720"/>
        </w:tabs>
        <w:kinsoku w:val="0"/>
        <w:overflowPunct w:val="0"/>
        <w:spacing w:after="0"/>
        <w:ind w:left="1267"/>
        <w:contextualSpacing/>
        <w:textAlignment w:val="baseline"/>
        <w:rPr>
          <w:i/>
          <w:iCs/>
          <w:lang w:val="en-US" w:eastAsia="sv-SE"/>
        </w:rPr>
      </w:pPr>
      <w:r w:rsidRPr="00772A6D">
        <w:rPr>
          <w:rFonts w:ascii="Calibri" w:eastAsia="SimSun" w:hAnsi="Calibri" w:cs="+mn-cs"/>
          <w:i/>
          <w:iCs/>
          <w:color w:val="000000"/>
          <w:kern w:val="24"/>
          <w:lang w:val="en-US" w:eastAsia="sv-SE"/>
        </w:rPr>
        <w:t>The existing requirements for following procedures in TS 38.133 and TS 36.133 are applicable for both 4-step RACH and 2-step RACH</w:t>
      </w:r>
    </w:p>
    <w:p w14:paraId="547A6F7B" w14:textId="77777777" w:rsidR="00772A6D" w:rsidRPr="00772A6D" w:rsidRDefault="00772A6D" w:rsidP="00772A6D">
      <w:pPr>
        <w:numPr>
          <w:ilvl w:val="1"/>
          <w:numId w:val="20"/>
        </w:numPr>
        <w:tabs>
          <w:tab w:val="num" w:pos="1440"/>
        </w:tabs>
        <w:kinsoku w:val="0"/>
        <w:overflowPunct w:val="0"/>
        <w:spacing w:after="0"/>
        <w:ind w:left="2606"/>
        <w:contextualSpacing/>
        <w:textAlignment w:val="baseline"/>
        <w:rPr>
          <w:i/>
          <w:iCs/>
          <w:lang w:val="sv-SE" w:eastAsia="sv-SE"/>
        </w:rPr>
      </w:pPr>
      <w:r w:rsidRPr="00772A6D">
        <w:rPr>
          <w:rFonts w:ascii="Calibri" w:eastAsia="SimSun" w:hAnsi="Calibri" w:cs="+mn-cs"/>
          <w:i/>
          <w:iCs/>
          <w:color w:val="000000"/>
          <w:kern w:val="24"/>
          <w:lang w:val="en-US" w:eastAsia="sv-SE"/>
        </w:rPr>
        <w:t>Handover</w:t>
      </w:r>
    </w:p>
    <w:p w14:paraId="7813B585" w14:textId="77777777" w:rsidR="00772A6D" w:rsidRPr="00772A6D" w:rsidRDefault="00772A6D" w:rsidP="00772A6D">
      <w:pPr>
        <w:numPr>
          <w:ilvl w:val="1"/>
          <w:numId w:val="20"/>
        </w:numPr>
        <w:tabs>
          <w:tab w:val="num" w:pos="1440"/>
        </w:tabs>
        <w:kinsoku w:val="0"/>
        <w:overflowPunct w:val="0"/>
        <w:spacing w:after="0"/>
        <w:ind w:left="2606"/>
        <w:contextualSpacing/>
        <w:textAlignment w:val="baseline"/>
        <w:rPr>
          <w:i/>
          <w:iCs/>
          <w:lang w:val="sv-SE" w:eastAsia="sv-SE"/>
        </w:rPr>
      </w:pPr>
      <w:r w:rsidRPr="00772A6D">
        <w:rPr>
          <w:rFonts w:ascii="Calibri" w:eastAsia="SimSun" w:hAnsi="Calibri" w:cs="+mn-cs"/>
          <w:i/>
          <w:iCs/>
          <w:color w:val="000000"/>
          <w:kern w:val="24"/>
          <w:lang w:val="en-US" w:eastAsia="sv-SE"/>
        </w:rPr>
        <w:t>UL transmit timing</w:t>
      </w:r>
    </w:p>
    <w:p w14:paraId="2727A87A" w14:textId="77777777" w:rsidR="00772A6D" w:rsidRPr="00772A6D" w:rsidRDefault="00772A6D" w:rsidP="00772A6D">
      <w:pPr>
        <w:numPr>
          <w:ilvl w:val="1"/>
          <w:numId w:val="20"/>
        </w:numPr>
        <w:tabs>
          <w:tab w:val="num" w:pos="1440"/>
        </w:tabs>
        <w:kinsoku w:val="0"/>
        <w:overflowPunct w:val="0"/>
        <w:spacing w:after="0"/>
        <w:ind w:left="2606"/>
        <w:contextualSpacing/>
        <w:textAlignment w:val="baseline"/>
        <w:rPr>
          <w:i/>
          <w:iCs/>
          <w:lang w:val="sv-SE" w:eastAsia="sv-SE"/>
        </w:rPr>
      </w:pPr>
      <w:r w:rsidRPr="00772A6D">
        <w:rPr>
          <w:rFonts w:ascii="Calibri" w:eastAsia="SimSun" w:hAnsi="Calibri" w:cs="+mn-cs"/>
          <w:i/>
          <w:iCs/>
          <w:color w:val="000000"/>
          <w:kern w:val="24"/>
          <w:lang w:val="en-US" w:eastAsia="sv-SE"/>
        </w:rPr>
        <w:t>RRC Re-establishment to NR</w:t>
      </w:r>
    </w:p>
    <w:p w14:paraId="37771F38" w14:textId="77777777" w:rsidR="00772A6D" w:rsidRPr="00772A6D" w:rsidRDefault="00772A6D" w:rsidP="00772A6D">
      <w:pPr>
        <w:numPr>
          <w:ilvl w:val="1"/>
          <w:numId w:val="20"/>
        </w:numPr>
        <w:tabs>
          <w:tab w:val="num" w:pos="1440"/>
        </w:tabs>
        <w:kinsoku w:val="0"/>
        <w:overflowPunct w:val="0"/>
        <w:spacing w:after="0"/>
        <w:ind w:left="2606"/>
        <w:contextualSpacing/>
        <w:textAlignment w:val="baseline"/>
        <w:rPr>
          <w:i/>
          <w:iCs/>
          <w:lang w:val="en-US" w:eastAsia="sv-SE"/>
        </w:rPr>
      </w:pPr>
      <w:r w:rsidRPr="00772A6D">
        <w:rPr>
          <w:rFonts w:ascii="Calibri" w:eastAsia="SimSun" w:hAnsi="Calibri" w:cs="+mn-cs"/>
          <w:i/>
          <w:iCs/>
          <w:color w:val="000000"/>
          <w:kern w:val="24"/>
          <w:lang w:val="en-US" w:eastAsia="sv-SE"/>
        </w:rPr>
        <w:t>RRC connection release with redirection to NR</w:t>
      </w:r>
    </w:p>
    <w:p w14:paraId="6FF58B72" w14:textId="77777777" w:rsidR="00772A6D" w:rsidRPr="00772A6D" w:rsidRDefault="00772A6D" w:rsidP="00772A6D">
      <w:pPr>
        <w:numPr>
          <w:ilvl w:val="1"/>
          <w:numId w:val="20"/>
        </w:numPr>
        <w:tabs>
          <w:tab w:val="num" w:pos="1440"/>
        </w:tabs>
        <w:kinsoku w:val="0"/>
        <w:overflowPunct w:val="0"/>
        <w:spacing w:after="0"/>
        <w:ind w:left="2606"/>
        <w:contextualSpacing/>
        <w:textAlignment w:val="baseline"/>
        <w:rPr>
          <w:i/>
          <w:iCs/>
          <w:lang w:val="sv-SE" w:eastAsia="sv-SE"/>
        </w:rPr>
      </w:pPr>
      <w:proofErr w:type="spellStart"/>
      <w:r w:rsidRPr="00772A6D">
        <w:rPr>
          <w:rFonts w:ascii="Calibri" w:eastAsia="SimSun" w:hAnsi="Calibri" w:cs="+mn-cs"/>
          <w:i/>
          <w:iCs/>
          <w:color w:val="000000"/>
          <w:kern w:val="24"/>
          <w:lang w:val="en-US" w:eastAsia="sv-SE"/>
        </w:rPr>
        <w:t>PSCell</w:t>
      </w:r>
      <w:proofErr w:type="spellEnd"/>
      <w:r w:rsidRPr="00772A6D">
        <w:rPr>
          <w:rFonts w:ascii="Calibri" w:eastAsia="SimSun" w:hAnsi="Calibri" w:cs="+mn-cs"/>
          <w:i/>
          <w:iCs/>
          <w:color w:val="000000"/>
          <w:kern w:val="24"/>
          <w:lang w:val="en-US" w:eastAsia="sv-SE"/>
        </w:rPr>
        <w:t xml:space="preserve"> addition in NR-DC</w:t>
      </w:r>
    </w:p>
    <w:p w14:paraId="39F38807" w14:textId="77777777" w:rsidR="00772A6D" w:rsidRPr="00772A6D" w:rsidRDefault="00772A6D" w:rsidP="00772A6D">
      <w:pPr>
        <w:numPr>
          <w:ilvl w:val="1"/>
          <w:numId w:val="20"/>
        </w:numPr>
        <w:tabs>
          <w:tab w:val="num" w:pos="1440"/>
        </w:tabs>
        <w:kinsoku w:val="0"/>
        <w:overflowPunct w:val="0"/>
        <w:spacing w:after="0"/>
        <w:ind w:left="2606"/>
        <w:contextualSpacing/>
        <w:textAlignment w:val="baseline"/>
        <w:rPr>
          <w:i/>
          <w:iCs/>
          <w:lang w:val="sv-SE" w:eastAsia="sv-SE"/>
        </w:rPr>
      </w:pPr>
      <w:proofErr w:type="spellStart"/>
      <w:r w:rsidRPr="00772A6D">
        <w:rPr>
          <w:rFonts w:ascii="Calibri" w:eastAsia="SimSun" w:hAnsi="Calibri" w:cs="+mn-cs"/>
          <w:i/>
          <w:iCs/>
          <w:color w:val="000000"/>
          <w:kern w:val="24"/>
          <w:lang w:val="en-US" w:eastAsia="sv-SE"/>
        </w:rPr>
        <w:t>PSCell</w:t>
      </w:r>
      <w:proofErr w:type="spellEnd"/>
      <w:r w:rsidRPr="00772A6D">
        <w:rPr>
          <w:rFonts w:ascii="Calibri" w:eastAsia="SimSun" w:hAnsi="Calibri" w:cs="+mn-cs"/>
          <w:i/>
          <w:iCs/>
          <w:color w:val="000000"/>
          <w:kern w:val="24"/>
          <w:lang w:val="en-US" w:eastAsia="sv-SE"/>
        </w:rPr>
        <w:t xml:space="preserve"> addition in EN-DC</w:t>
      </w:r>
    </w:p>
    <w:p w14:paraId="4EB658DF" w14:textId="77777777" w:rsidR="00772A6D" w:rsidRPr="00772A6D" w:rsidRDefault="00772A6D" w:rsidP="00772A6D">
      <w:pPr>
        <w:numPr>
          <w:ilvl w:val="0"/>
          <w:numId w:val="20"/>
        </w:numPr>
        <w:tabs>
          <w:tab w:val="num" w:pos="720"/>
        </w:tabs>
        <w:kinsoku w:val="0"/>
        <w:overflowPunct w:val="0"/>
        <w:spacing w:after="0"/>
        <w:ind w:left="1267"/>
        <w:contextualSpacing/>
        <w:textAlignment w:val="baseline"/>
        <w:rPr>
          <w:i/>
          <w:iCs/>
          <w:lang w:val="en-US" w:eastAsia="sv-SE"/>
        </w:rPr>
      </w:pPr>
      <w:r w:rsidRPr="00772A6D">
        <w:rPr>
          <w:rFonts w:ascii="Calibri" w:eastAsia="SimSun" w:hAnsi="Calibri" w:cs="+mn-cs"/>
          <w:i/>
          <w:iCs/>
          <w:color w:val="000000"/>
          <w:kern w:val="24"/>
          <w:lang w:eastAsia="sv-SE"/>
        </w:rPr>
        <w:t xml:space="preserve">Terminology for differentiating 4-step RACH and 2-step RACH in TS 38.133 </w:t>
      </w:r>
    </w:p>
    <w:p w14:paraId="6D13818E" w14:textId="73F2154B" w:rsidR="00772A6D" w:rsidRPr="00772A6D" w:rsidRDefault="00772A6D" w:rsidP="00772A6D">
      <w:pPr>
        <w:numPr>
          <w:ilvl w:val="1"/>
          <w:numId w:val="20"/>
        </w:numPr>
        <w:pBdr>
          <w:bottom w:val="single" w:sz="4" w:space="1" w:color="auto"/>
        </w:pBdr>
        <w:tabs>
          <w:tab w:val="num" w:pos="1440"/>
        </w:tabs>
        <w:kinsoku w:val="0"/>
        <w:overflowPunct w:val="0"/>
        <w:spacing w:after="0"/>
        <w:ind w:left="2606"/>
        <w:contextualSpacing/>
        <w:textAlignment w:val="baseline"/>
        <w:rPr>
          <w:sz w:val="36"/>
          <w:szCs w:val="24"/>
          <w:lang w:val="en-US" w:eastAsia="sv-SE"/>
        </w:rPr>
      </w:pPr>
      <w:r w:rsidRPr="00772A6D">
        <w:rPr>
          <w:rFonts w:ascii="Calibri" w:eastAsia="SimSun" w:hAnsi="Calibri" w:cs="+mn-cs"/>
          <w:i/>
          <w:iCs/>
          <w:color w:val="000000"/>
          <w:kern w:val="24"/>
          <w:lang w:val="en-US" w:eastAsia="sv-SE"/>
        </w:rPr>
        <w:t>“4-step RA type” and “2-step RA type”</w:t>
      </w:r>
    </w:p>
    <w:p w14:paraId="79629563" w14:textId="290D4516" w:rsidR="00772A6D" w:rsidRDefault="00772A6D" w:rsidP="008F549F">
      <w:pPr>
        <w:spacing w:before="240" w:after="0"/>
        <w:rPr>
          <w:sz w:val="22"/>
          <w:szCs w:val="22"/>
          <w:lang w:val="en-US"/>
        </w:rPr>
      </w:pPr>
      <w:r>
        <w:rPr>
          <w:sz w:val="22"/>
          <w:szCs w:val="22"/>
          <w:lang w:val="en-US"/>
        </w:rPr>
        <w:t>However, it was agreed to further analyze whether the above agreements need to be captured in the specification or not as captured in the WF [1]:</w:t>
      </w:r>
    </w:p>
    <w:p w14:paraId="0108556D" w14:textId="77777777" w:rsidR="00772A6D" w:rsidRPr="00772A6D" w:rsidRDefault="00772A6D" w:rsidP="00772A6D">
      <w:pPr>
        <w:kinsoku w:val="0"/>
        <w:overflowPunct w:val="0"/>
        <w:spacing w:after="0"/>
        <w:ind w:left="1267"/>
        <w:contextualSpacing/>
        <w:textAlignment w:val="baseline"/>
        <w:rPr>
          <w:i/>
          <w:iCs/>
          <w:lang w:val="en-US" w:eastAsia="sv-SE"/>
        </w:rPr>
      </w:pPr>
    </w:p>
    <w:p w14:paraId="22A62BAD" w14:textId="6EACFB71" w:rsidR="00772A6D" w:rsidRPr="00772A6D" w:rsidRDefault="00772A6D" w:rsidP="00772A6D">
      <w:pPr>
        <w:numPr>
          <w:ilvl w:val="0"/>
          <w:numId w:val="21"/>
        </w:numPr>
        <w:pBdr>
          <w:top w:val="single" w:sz="4" w:space="1" w:color="auto"/>
          <w:bottom w:val="single" w:sz="4" w:space="1" w:color="auto"/>
        </w:pBdr>
        <w:kinsoku w:val="0"/>
        <w:overflowPunct w:val="0"/>
        <w:spacing w:after="0"/>
        <w:ind w:left="1267"/>
        <w:contextualSpacing/>
        <w:textAlignment w:val="baseline"/>
        <w:rPr>
          <w:i/>
          <w:iCs/>
          <w:lang w:val="en-US" w:eastAsia="sv-SE"/>
        </w:rPr>
      </w:pPr>
      <w:r w:rsidRPr="00772A6D">
        <w:rPr>
          <w:rFonts w:ascii="Calibri" w:eastAsia="SimSun" w:hAnsi="Calibri" w:cs="+mn-cs"/>
          <w:i/>
          <w:iCs/>
          <w:color w:val="000000"/>
          <w:kern w:val="24"/>
          <w:lang w:val="en-US" w:eastAsia="sv-SE"/>
        </w:rPr>
        <w:t>FFS if clarification in the spec is needed for existing RRM requirements that are applicable to both 4-step RACH and 2-step RACH</w:t>
      </w:r>
    </w:p>
    <w:p w14:paraId="6FC1710D" w14:textId="4039D12F" w:rsidR="0055506E" w:rsidRPr="001D2FBF" w:rsidRDefault="00866CC5" w:rsidP="008F549F">
      <w:pPr>
        <w:spacing w:before="240" w:after="0"/>
        <w:rPr>
          <w:sz w:val="22"/>
          <w:szCs w:val="22"/>
          <w:lang w:val="en-US"/>
        </w:rPr>
      </w:pPr>
      <w:r w:rsidRPr="001D2FBF">
        <w:rPr>
          <w:sz w:val="22"/>
          <w:szCs w:val="22"/>
          <w:lang w:val="en-US"/>
        </w:rPr>
        <w:t xml:space="preserve">In this </w:t>
      </w:r>
      <w:r w:rsidR="00416F7B" w:rsidRPr="001D2FBF">
        <w:rPr>
          <w:sz w:val="22"/>
          <w:szCs w:val="22"/>
          <w:lang w:val="en-US"/>
        </w:rPr>
        <w:t xml:space="preserve">contribution </w:t>
      </w:r>
      <w:r w:rsidR="00772A6D">
        <w:rPr>
          <w:sz w:val="22"/>
          <w:szCs w:val="22"/>
          <w:lang w:val="en-US"/>
        </w:rPr>
        <w:t>we analyze the above open issue</w:t>
      </w:r>
      <w:r w:rsidRPr="001D2FBF">
        <w:rPr>
          <w:sz w:val="22"/>
          <w:szCs w:val="22"/>
          <w:lang w:val="en-US"/>
        </w:rPr>
        <w:t xml:space="preserve">. </w:t>
      </w:r>
    </w:p>
    <w:p w14:paraId="76B57B46" w14:textId="187A608B" w:rsidR="00CB610D" w:rsidRPr="001D2FBF" w:rsidRDefault="00772A6D" w:rsidP="00CB610D">
      <w:pPr>
        <w:pStyle w:val="Heading1"/>
        <w:numPr>
          <w:ilvl w:val="0"/>
          <w:numId w:val="1"/>
        </w:numPr>
        <w:spacing w:before="360" w:after="0"/>
        <w:ind w:left="357" w:hanging="357"/>
      </w:pPr>
      <w:r>
        <w:t>Discussion</w:t>
      </w:r>
    </w:p>
    <w:p w14:paraId="22D25C73" w14:textId="2ACFB794" w:rsidR="00772A6D" w:rsidRDefault="00772A6D" w:rsidP="00B823CA">
      <w:pPr>
        <w:spacing w:before="240" w:after="0"/>
        <w:rPr>
          <w:sz w:val="22"/>
          <w:szCs w:val="22"/>
        </w:rPr>
      </w:pPr>
      <w:r>
        <w:rPr>
          <w:sz w:val="22"/>
          <w:szCs w:val="22"/>
        </w:rPr>
        <w:t xml:space="preserve">There are large number of </w:t>
      </w:r>
      <w:r w:rsidR="00C92DFB">
        <w:rPr>
          <w:sz w:val="22"/>
          <w:szCs w:val="22"/>
        </w:rPr>
        <w:t xml:space="preserve">RRM </w:t>
      </w:r>
      <w:r>
        <w:rPr>
          <w:sz w:val="22"/>
          <w:szCs w:val="22"/>
        </w:rPr>
        <w:t>requirements in both TS 38.133 and TS 36.133</w:t>
      </w:r>
      <w:r w:rsidR="00C92DFB">
        <w:rPr>
          <w:sz w:val="22"/>
          <w:szCs w:val="22"/>
        </w:rPr>
        <w:t xml:space="preserve">, where the UE send random access to an NR cell, which can be the serving NR cell of the UE (e.g. for timing </w:t>
      </w:r>
      <w:proofErr w:type="spellStart"/>
      <w:r w:rsidR="00C92DFB">
        <w:rPr>
          <w:sz w:val="22"/>
          <w:szCs w:val="22"/>
        </w:rPr>
        <w:t>acquisiton</w:t>
      </w:r>
      <w:proofErr w:type="spellEnd"/>
      <w:r w:rsidR="00C92DFB">
        <w:rPr>
          <w:sz w:val="22"/>
          <w:szCs w:val="22"/>
        </w:rPr>
        <w:t xml:space="preserve">) or it can be a target NR cell (e.g. during HO etc). </w:t>
      </w:r>
    </w:p>
    <w:p w14:paraId="5C809337" w14:textId="7B663147" w:rsidR="007A442B" w:rsidRPr="00D76C05" w:rsidRDefault="00C92DFB" w:rsidP="00D76C05">
      <w:pPr>
        <w:spacing w:before="240" w:after="0"/>
        <w:rPr>
          <w:sz w:val="22"/>
          <w:szCs w:val="22"/>
        </w:rPr>
      </w:pPr>
      <w:r>
        <w:rPr>
          <w:sz w:val="22"/>
          <w:szCs w:val="22"/>
        </w:rPr>
        <w:t xml:space="preserve">One option is to </w:t>
      </w:r>
      <w:proofErr w:type="spellStart"/>
      <w:r>
        <w:rPr>
          <w:sz w:val="22"/>
          <w:szCs w:val="22"/>
        </w:rPr>
        <w:t>explicity</w:t>
      </w:r>
      <w:proofErr w:type="spellEnd"/>
      <w:r>
        <w:rPr>
          <w:sz w:val="22"/>
          <w:szCs w:val="22"/>
        </w:rPr>
        <w:t xml:space="preserve"> state in each requirement where random access is used that the requirement applies for both 2-step RA and 2-step RA. </w:t>
      </w:r>
      <w:r w:rsidR="0020574E">
        <w:rPr>
          <w:sz w:val="22"/>
          <w:szCs w:val="22"/>
        </w:rPr>
        <w:t>All existing RRM requirements apply for both 2-step RA and 2-step RA. It is also more likely that in future all or most RRM requirements will apply for both 2-step RA and 2-step RA. Therefore, w</w:t>
      </w:r>
      <w:r>
        <w:rPr>
          <w:sz w:val="22"/>
          <w:szCs w:val="22"/>
        </w:rPr>
        <w:t xml:space="preserve">e prefer </w:t>
      </w:r>
      <w:r w:rsidR="0020574E">
        <w:rPr>
          <w:sz w:val="22"/>
          <w:szCs w:val="22"/>
        </w:rPr>
        <w:t xml:space="preserve">not to modify random access </w:t>
      </w:r>
      <w:r w:rsidR="00D76C05">
        <w:rPr>
          <w:sz w:val="22"/>
          <w:szCs w:val="22"/>
        </w:rPr>
        <w:t xml:space="preserve">terminology in each section containing the existing RRM requirements. Instead, our preference is to define the applicability rule in the applicability section that by default the RRM requirements, where the UE send random access to an NR cell, apply for both 2-step RA and 2-step RA. In future if any RRM requirement, where the UE send random access to an NR cell, applies only to </w:t>
      </w:r>
      <w:r w:rsidR="00B7505B">
        <w:rPr>
          <w:sz w:val="22"/>
          <w:szCs w:val="22"/>
        </w:rPr>
        <w:t xml:space="preserve">one </w:t>
      </w:r>
      <w:r w:rsidR="00D76C05">
        <w:rPr>
          <w:sz w:val="22"/>
          <w:szCs w:val="22"/>
        </w:rPr>
        <w:t xml:space="preserve">of </w:t>
      </w:r>
      <w:r w:rsidR="00B7505B">
        <w:rPr>
          <w:sz w:val="22"/>
          <w:szCs w:val="22"/>
        </w:rPr>
        <w:t xml:space="preserve">two types of </w:t>
      </w:r>
      <w:r w:rsidR="00D76C05">
        <w:rPr>
          <w:sz w:val="22"/>
          <w:szCs w:val="22"/>
        </w:rPr>
        <w:t xml:space="preserve">random access, then </w:t>
      </w:r>
      <w:r w:rsidR="002D502E">
        <w:rPr>
          <w:sz w:val="22"/>
          <w:szCs w:val="22"/>
        </w:rPr>
        <w:t>this can be explicitly stated in that RRM requirement.</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6F0D8B05" w14:textId="2A4E3631" w:rsidR="00165483" w:rsidRPr="001D2FBF" w:rsidRDefault="000C008B" w:rsidP="003C4CA3">
      <w:pPr>
        <w:overflowPunct w:val="0"/>
        <w:autoSpaceDE w:val="0"/>
        <w:autoSpaceDN w:val="0"/>
        <w:adjustRightInd w:val="0"/>
        <w:spacing w:after="0"/>
        <w:textAlignment w:val="baseline"/>
        <w:rPr>
          <w:sz w:val="22"/>
          <w:szCs w:val="22"/>
        </w:rPr>
      </w:pPr>
      <w:r w:rsidRPr="001D2FBF">
        <w:rPr>
          <w:sz w:val="22"/>
          <w:szCs w:val="22"/>
          <w:lang w:val="en-US"/>
        </w:rPr>
        <w:t xml:space="preserve">Based on the </w:t>
      </w:r>
      <w:r w:rsidR="004D50F4" w:rsidRPr="001D2FBF">
        <w:rPr>
          <w:sz w:val="22"/>
          <w:szCs w:val="22"/>
        </w:rPr>
        <w:t>analys</w:t>
      </w:r>
      <w:r w:rsidRPr="001D2FBF">
        <w:rPr>
          <w:sz w:val="22"/>
          <w:szCs w:val="22"/>
        </w:rPr>
        <w:t xml:space="preserve">is in this paper </w:t>
      </w:r>
      <w:bookmarkStart w:id="3" w:name="_Hlk23953093"/>
      <w:r w:rsidRPr="001D2FBF">
        <w:rPr>
          <w:sz w:val="22"/>
          <w:szCs w:val="22"/>
          <w:lang w:val="en-US"/>
        </w:rPr>
        <w:t>f</w:t>
      </w:r>
      <w:proofErr w:type="spellStart"/>
      <w:r w:rsidR="00E86FF9" w:rsidRPr="001D2FBF">
        <w:rPr>
          <w:sz w:val="22"/>
          <w:szCs w:val="22"/>
        </w:rPr>
        <w:t>ollowing</w:t>
      </w:r>
      <w:proofErr w:type="spellEnd"/>
      <w:r w:rsidR="00E86FF9" w:rsidRPr="001D2FBF">
        <w:rPr>
          <w:sz w:val="22"/>
          <w:szCs w:val="22"/>
        </w:rPr>
        <w:t xml:space="preserve"> </w:t>
      </w:r>
      <w:r w:rsidR="00830921" w:rsidRPr="001D2FBF">
        <w:rPr>
          <w:sz w:val="22"/>
          <w:szCs w:val="22"/>
        </w:rPr>
        <w:t xml:space="preserve">are the </w:t>
      </w:r>
      <w:r w:rsidR="000467E3" w:rsidRPr="001D2FBF">
        <w:rPr>
          <w:sz w:val="22"/>
          <w:szCs w:val="22"/>
        </w:rPr>
        <w:t xml:space="preserve">main </w:t>
      </w:r>
      <w:r w:rsidR="00D70237" w:rsidRPr="001D2FBF">
        <w:rPr>
          <w:sz w:val="22"/>
          <w:szCs w:val="22"/>
        </w:rPr>
        <w:t xml:space="preserve">observation and </w:t>
      </w:r>
      <w:r w:rsidR="00506C4B" w:rsidRPr="001D2FBF">
        <w:rPr>
          <w:sz w:val="22"/>
          <w:szCs w:val="22"/>
        </w:rPr>
        <w:t>proposals</w:t>
      </w:r>
      <w:r w:rsidR="00AE34EB">
        <w:rPr>
          <w:sz w:val="22"/>
          <w:szCs w:val="22"/>
        </w:rPr>
        <w:t>:</w:t>
      </w:r>
      <w:r w:rsidR="007E7B60" w:rsidRPr="001D2FBF">
        <w:rPr>
          <w:sz w:val="22"/>
          <w:szCs w:val="22"/>
        </w:rPr>
        <w:t xml:space="preserve"> </w:t>
      </w:r>
    </w:p>
    <w:p w14:paraId="3ED70159" w14:textId="02D4DD2E" w:rsidR="000C008B" w:rsidRPr="001D2FBF" w:rsidRDefault="000C008B" w:rsidP="00C84330">
      <w:pPr>
        <w:pStyle w:val="ListParagraph"/>
        <w:numPr>
          <w:ilvl w:val="0"/>
          <w:numId w:val="6"/>
        </w:numPr>
        <w:spacing w:before="120"/>
        <w:contextualSpacing w:val="0"/>
        <w:rPr>
          <w:rFonts w:ascii="Times New Roman" w:hAnsi="Times New Roman"/>
          <w:sz w:val="20"/>
        </w:rPr>
      </w:pPr>
      <w:r w:rsidRPr="001D2FBF">
        <w:rPr>
          <w:rFonts w:ascii="Times New Roman" w:hAnsi="Times New Roman"/>
          <w:b/>
          <w:bCs/>
          <w:sz w:val="20"/>
        </w:rPr>
        <w:t>Observation#1:</w:t>
      </w:r>
      <w:r w:rsidRPr="001D2FBF">
        <w:rPr>
          <w:rFonts w:ascii="Times New Roman" w:hAnsi="Times New Roman"/>
          <w:sz w:val="20"/>
        </w:rPr>
        <w:t xml:space="preserve"> SSB to PRACH occasion associated periods, which impact handover delay requirements for HO to target NR cell, are the same for 2-step and 4-step RACH. </w:t>
      </w:r>
    </w:p>
    <w:p w14:paraId="63A91C34" w14:textId="3C37FB88" w:rsidR="00AE34EB" w:rsidRDefault="000C008B" w:rsidP="00AE34EB">
      <w:pPr>
        <w:pStyle w:val="ListParagraph"/>
        <w:numPr>
          <w:ilvl w:val="0"/>
          <w:numId w:val="6"/>
        </w:numPr>
        <w:spacing w:before="120"/>
        <w:ind w:left="357" w:hanging="357"/>
        <w:contextualSpacing w:val="0"/>
        <w:rPr>
          <w:rFonts w:ascii="Times New Roman" w:hAnsi="Times New Roman"/>
          <w:sz w:val="20"/>
        </w:rPr>
      </w:pPr>
      <w:r w:rsidRPr="00AE34EB">
        <w:rPr>
          <w:rFonts w:ascii="Times New Roman" w:hAnsi="Times New Roman"/>
          <w:b/>
          <w:bCs/>
          <w:sz w:val="20"/>
        </w:rPr>
        <w:lastRenderedPageBreak/>
        <w:t>Proposal #1:</w:t>
      </w:r>
      <w:r w:rsidRPr="00AE34EB">
        <w:rPr>
          <w:rFonts w:ascii="Times New Roman" w:hAnsi="Times New Roman"/>
          <w:sz w:val="20"/>
        </w:rPr>
        <w:t xml:space="preserve"> </w:t>
      </w:r>
      <w:r w:rsidR="00AE34EB" w:rsidRPr="00AE34EB">
        <w:rPr>
          <w:rFonts w:ascii="Times New Roman" w:hAnsi="Times New Roman"/>
          <w:sz w:val="20"/>
        </w:rPr>
        <w:t>Clarif</w:t>
      </w:r>
      <w:r w:rsidR="00AE34EB">
        <w:rPr>
          <w:rFonts w:ascii="Times New Roman" w:hAnsi="Times New Roman"/>
          <w:sz w:val="20"/>
        </w:rPr>
        <w:t>y</w:t>
      </w:r>
      <w:r w:rsidR="00AE34EB" w:rsidRPr="00AE34EB">
        <w:rPr>
          <w:rFonts w:ascii="Times New Roman" w:hAnsi="Times New Roman"/>
          <w:sz w:val="20"/>
        </w:rPr>
        <w:t xml:space="preserve"> in the spec</w:t>
      </w:r>
      <w:r w:rsidR="00AE34EB">
        <w:rPr>
          <w:rFonts w:ascii="Times New Roman" w:hAnsi="Times New Roman"/>
          <w:sz w:val="20"/>
        </w:rPr>
        <w:t>ifications (TS 38.133 and TS 36,133)</w:t>
      </w:r>
      <w:r w:rsidR="00AE34EB" w:rsidRPr="00AE34EB">
        <w:rPr>
          <w:rFonts w:ascii="Times New Roman" w:hAnsi="Times New Roman"/>
          <w:sz w:val="20"/>
        </w:rPr>
        <w:t xml:space="preserve"> </w:t>
      </w:r>
      <w:r w:rsidR="00AE34EB">
        <w:rPr>
          <w:rFonts w:ascii="Times New Roman" w:hAnsi="Times New Roman"/>
          <w:sz w:val="20"/>
        </w:rPr>
        <w:t xml:space="preserve">that </w:t>
      </w:r>
      <w:r w:rsidR="00AE34EB" w:rsidRPr="00AE34EB">
        <w:rPr>
          <w:rFonts w:ascii="Times New Roman" w:hAnsi="Times New Roman"/>
          <w:sz w:val="20"/>
        </w:rPr>
        <w:t>RRM requirements</w:t>
      </w:r>
      <w:r w:rsidR="00AE34EB">
        <w:rPr>
          <w:rFonts w:ascii="Times New Roman" w:hAnsi="Times New Roman"/>
          <w:sz w:val="20"/>
        </w:rPr>
        <w:t xml:space="preserve">, where random access is transmitted to NR cell, </w:t>
      </w:r>
      <w:r w:rsidR="00AE34EB" w:rsidRPr="00AE34EB">
        <w:rPr>
          <w:rFonts w:ascii="Times New Roman" w:hAnsi="Times New Roman"/>
          <w:sz w:val="20"/>
        </w:rPr>
        <w:t xml:space="preserve">are applicable to both </w:t>
      </w:r>
      <w:r w:rsidR="00AE34EB">
        <w:rPr>
          <w:rFonts w:ascii="Times New Roman" w:hAnsi="Times New Roman"/>
          <w:sz w:val="20"/>
        </w:rPr>
        <w:t>2</w:t>
      </w:r>
      <w:r w:rsidR="00AE34EB" w:rsidRPr="00AE34EB">
        <w:rPr>
          <w:rFonts w:ascii="Times New Roman" w:hAnsi="Times New Roman"/>
          <w:sz w:val="20"/>
        </w:rPr>
        <w:t>-step RA</w:t>
      </w:r>
      <w:r w:rsidR="00AE34EB">
        <w:rPr>
          <w:rFonts w:ascii="Times New Roman" w:hAnsi="Times New Roman"/>
          <w:sz w:val="20"/>
        </w:rPr>
        <w:t xml:space="preserve"> </w:t>
      </w:r>
      <w:r w:rsidR="00AE34EB" w:rsidRPr="00AE34EB">
        <w:rPr>
          <w:rFonts w:ascii="Times New Roman" w:hAnsi="Times New Roman"/>
          <w:sz w:val="20"/>
        </w:rPr>
        <w:t xml:space="preserve">and </w:t>
      </w:r>
      <w:r w:rsidR="00AE34EB">
        <w:rPr>
          <w:rFonts w:ascii="Times New Roman" w:hAnsi="Times New Roman"/>
          <w:sz w:val="20"/>
        </w:rPr>
        <w:t>4</w:t>
      </w:r>
      <w:r w:rsidR="00AE34EB" w:rsidRPr="00AE34EB">
        <w:rPr>
          <w:rFonts w:ascii="Times New Roman" w:hAnsi="Times New Roman"/>
          <w:sz w:val="20"/>
        </w:rPr>
        <w:t>-step R</w:t>
      </w:r>
      <w:r w:rsidR="00AE34EB">
        <w:rPr>
          <w:rFonts w:ascii="Times New Roman" w:hAnsi="Times New Roman"/>
          <w:sz w:val="20"/>
        </w:rPr>
        <w:t>A</w:t>
      </w:r>
      <w:r w:rsidR="00AE34EB" w:rsidRPr="00AE34EB">
        <w:rPr>
          <w:rFonts w:ascii="Times New Roman" w:hAnsi="Times New Roman"/>
          <w:sz w:val="20"/>
        </w:rPr>
        <w:t>.</w:t>
      </w:r>
    </w:p>
    <w:p w14:paraId="5700CBBD" w14:textId="01FE590C" w:rsidR="00AE34EB" w:rsidRPr="00AE34EB" w:rsidRDefault="00AE34EB" w:rsidP="00AE34EB">
      <w:pPr>
        <w:pStyle w:val="ListParagraph"/>
        <w:numPr>
          <w:ilvl w:val="0"/>
          <w:numId w:val="6"/>
        </w:numPr>
        <w:spacing w:before="120"/>
        <w:ind w:left="357" w:hanging="357"/>
        <w:contextualSpacing w:val="0"/>
        <w:rPr>
          <w:rFonts w:ascii="Times New Roman" w:hAnsi="Times New Roman"/>
          <w:sz w:val="20"/>
        </w:rPr>
      </w:pPr>
      <w:r w:rsidRPr="00AE34EB">
        <w:rPr>
          <w:rFonts w:ascii="Times New Roman" w:hAnsi="Times New Roman"/>
          <w:b/>
          <w:bCs/>
          <w:sz w:val="20"/>
        </w:rPr>
        <w:t>Proposal #</w:t>
      </w:r>
      <w:r>
        <w:rPr>
          <w:rFonts w:ascii="Times New Roman" w:hAnsi="Times New Roman"/>
          <w:b/>
          <w:bCs/>
          <w:sz w:val="20"/>
        </w:rPr>
        <w:t>2</w:t>
      </w:r>
      <w:r w:rsidRPr="00AE34EB">
        <w:rPr>
          <w:rFonts w:ascii="Times New Roman" w:hAnsi="Times New Roman"/>
          <w:b/>
          <w:bCs/>
          <w:sz w:val="20"/>
        </w:rPr>
        <w:t>:</w:t>
      </w:r>
      <w:r w:rsidRPr="00AE34EB">
        <w:rPr>
          <w:rFonts w:ascii="Times New Roman" w:hAnsi="Times New Roman"/>
          <w:sz w:val="20"/>
        </w:rPr>
        <w:t xml:space="preserve"> </w:t>
      </w:r>
      <w:r>
        <w:rPr>
          <w:rFonts w:ascii="Times New Roman" w:hAnsi="Times New Roman"/>
          <w:sz w:val="20"/>
        </w:rPr>
        <w:t>Define the applicability of 2</w:t>
      </w:r>
      <w:r w:rsidRPr="00AE34EB">
        <w:rPr>
          <w:rFonts w:ascii="Times New Roman" w:hAnsi="Times New Roman"/>
          <w:sz w:val="20"/>
        </w:rPr>
        <w:t>-step RA</w:t>
      </w:r>
      <w:r>
        <w:rPr>
          <w:rFonts w:ascii="Times New Roman" w:hAnsi="Times New Roman"/>
          <w:sz w:val="20"/>
        </w:rPr>
        <w:t xml:space="preserve"> </w:t>
      </w:r>
      <w:r w:rsidRPr="00AE34EB">
        <w:rPr>
          <w:rFonts w:ascii="Times New Roman" w:hAnsi="Times New Roman"/>
          <w:sz w:val="20"/>
        </w:rPr>
        <w:t xml:space="preserve">and </w:t>
      </w:r>
      <w:r>
        <w:rPr>
          <w:rFonts w:ascii="Times New Roman" w:hAnsi="Times New Roman"/>
          <w:sz w:val="20"/>
        </w:rPr>
        <w:t>4</w:t>
      </w:r>
      <w:r w:rsidRPr="00AE34EB">
        <w:rPr>
          <w:rFonts w:ascii="Times New Roman" w:hAnsi="Times New Roman"/>
          <w:sz w:val="20"/>
        </w:rPr>
        <w:t>-step R</w:t>
      </w:r>
      <w:r>
        <w:rPr>
          <w:rFonts w:ascii="Times New Roman" w:hAnsi="Times New Roman"/>
          <w:sz w:val="20"/>
        </w:rPr>
        <w:t>A</w:t>
      </w:r>
      <w:r w:rsidRPr="00AE34EB">
        <w:rPr>
          <w:rFonts w:ascii="Times New Roman" w:hAnsi="Times New Roman"/>
          <w:sz w:val="20"/>
        </w:rPr>
        <w:t xml:space="preserve"> </w:t>
      </w:r>
      <w:r>
        <w:rPr>
          <w:rFonts w:ascii="Times New Roman" w:hAnsi="Times New Roman"/>
          <w:sz w:val="20"/>
        </w:rPr>
        <w:t xml:space="preserve">in the </w:t>
      </w:r>
      <w:r w:rsidRPr="00AE34EB">
        <w:rPr>
          <w:rFonts w:ascii="Times New Roman" w:hAnsi="Times New Roman"/>
          <w:sz w:val="20"/>
        </w:rPr>
        <w:t>RRM requirements</w:t>
      </w:r>
      <w:r>
        <w:rPr>
          <w:rFonts w:ascii="Times New Roman" w:hAnsi="Times New Roman"/>
          <w:sz w:val="20"/>
        </w:rPr>
        <w:t xml:space="preserve">, where random access is transmitted to NR cell, in the applicability sections of </w:t>
      </w:r>
      <w:r w:rsidRPr="00AE34EB">
        <w:rPr>
          <w:rFonts w:ascii="Times New Roman" w:hAnsi="Times New Roman"/>
          <w:sz w:val="20"/>
        </w:rPr>
        <w:t>spec</w:t>
      </w:r>
      <w:r>
        <w:rPr>
          <w:rFonts w:ascii="Times New Roman" w:hAnsi="Times New Roman"/>
          <w:sz w:val="20"/>
        </w:rPr>
        <w:t>ifications (TS 38.133 and TS 36,133)</w:t>
      </w:r>
      <w:r w:rsidRPr="00AE34EB">
        <w:rPr>
          <w:rFonts w:ascii="Times New Roman" w:hAnsi="Times New Roman"/>
          <w:sz w:val="20"/>
        </w:rPr>
        <w:t>.</w:t>
      </w:r>
    </w:p>
    <w:p w14:paraId="4541EAAC" w14:textId="030D6C3D" w:rsidR="00364F60" w:rsidRDefault="00BA47B2" w:rsidP="00BA47B2">
      <w:pPr>
        <w:spacing w:before="360"/>
      </w:pPr>
      <w:r>
        <w:t>The CR defining a</w:t>
      </w:r>
      <w:r w:rsidRPr="00E051A2">
        <w:t xml:space="preserve">pplicability of 2-step </w:t>
      </w:r>
      <w:r w:rsidR="00F93E66">
        <w:t xml:space="preserve">RA </w:t>
      </w:r>
      <w:r>
        <w:t xml:space="preserve">and 4-step </w:t>
      </w:r>
      <w:r w:rsidRPr="00E051A2">
        <w:t>RA in RRM requirements in 38.133</w:t>
      </w:r>
      <w:r>
        <w:t xml:space="preserve"> is provided in [2].</w:t>
      </w:r>
    </w:p>
    <w:p w14:paraId="64381942" w14:textId="460624BA" w:rsidR="00BA47B2" w:rsidRPr="00364F60" w:rsidRDefault="00BA47B2" w:rsidP="00BA47B2">
      <w:pPr>
        <w:spacing w:after="0"/>
      </w:pPr>
      <w:r>
        <w:t>The CR defining a</w:t>
      </w:r>
      <w:r w:rsidRPr="00E051A2">
        <w:t xml:space="preserve">pplicability of 2-step </w:t>
      </w:r>
      <w:r w:rsidR="00F93E66">
        <w:t xml:space="preserve">RA </w:t>
      </w:r>
      <w:r>
        <w:t xml:space="preserve">and 4-step </w:t>
      </w:r>
      <w:r w:rsidRPr="00E051A2">
        <w:t>RA in RRM requirements in 3</w:t>
      </w:r>
      <w:r>
        <w:t>6</w:t>
      </w:r>
      <w:r w:rsidRPr="00E051A2">
        <w:t>.133</w:t>
      </w:r>
      <w:r>
        <w:t xml:space="preserve"> is provided in [</w:t>
      </w:r>
      <w:r w:rsidR="00785940">
        <w:t>3</w:t>
      </w:r>
      <w:r>
        <w:t>].</w:t>
      </w:r>
    </w:p>
    <w:bookmarkEnd w:id="3"/>
    <w:p w14:paraId="75B297C1" w14:textId="0EDFED76" w:rsidR="00CC6F36" w:rsidRPr="001D2FBF" w:rsidRDefault="00CC6F36" w:rsidP="00B823C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bookmarkEnd w:id="1"/>
    <w:bookmarkEnd w:id="2"/>
    <w:p w14:paraId="48506973" w14:textId="03C5AF5A" w:rsidR="00721DCD" w:rsidRPr="00E051A2" w:rsidRDefault="00A52B5F" w:rsidP="00F114F9">
      <w:pPr>
        <w:pStyle w:val="ListParagraph"/>
        <w:numPr>
          <w:ilvl w:val="0"/>
          <w:numId w:val="4"/>
        </w:numPr>
        <w:spacing w:before="120"/>
        <w:ind w:left="357" w:hanging="357"/>
        <w:contextualSpacing w:val="0"/>
        <w:rPr>
          <w:rFonts w:ascii="Times New Roman" w:hAnsi="Times New Roman"/>
          <w:sz w:val="20"/>
        </w:rPr>
      </w:pPr>
      <w:r w:rsidRPr="00E051A2">
        <w:rPr>
          <w:rFonts w:ascii="Times New Roman" w:hAnsi="Times New Roman"/>
          <w:sz w:val="20"/>
        </w:rPr>
        <w:t>R4-200</w:t>
      </w:r>
      <w:r w:rsidR="00364F60">
        <w:rPr>
          <w:rFonts w:ascii="Times New Roman" w:hAnsi="Times New Roman"/>
          <w:sz w:val="20"/>
        </w:rPr>
        <w:t>5844</w:t>
      </w:r>
      <w:r w:rsidRPr="00E051A2">
        <w:rPr>
          <w:rFonts w:ascii="Times New Roman" w:hAnsi="Times New Roman"/>
          <w:sz w:val="20"/>
        </w:rPr>
        <w:t>, “WF on 2-step RACH RRM requirements”, ZTE.</w:t>
      </w:r>
    </w:p>
    <w:p w14:paraId="71C23319" w14:textId="30C4FDEF" w:rsidR="00E051A2" w:rsidRPr="00E051A2" w:rsidRDefault="00E051A2" w:rsidP="00E051A2">
      <w:pPr>
        <w:pStyle w:val="ListParagraph"/>
        <w:numPr>
          <w:ilvl w:val="0"/>
          <w:numId w:val="4"/>
        </w:numPr>
        <w:spacing w:before="120"/>
        <w:ind w:left="357" w:hanging="357"/>
        <w:contextualSpacing w:val="0"/>
        <w:rPr>
          <w:rFonts w:ascii="Times New Roman" w:hAnsi="Times New Roman"/>
          <w:sz w:val="20"/>
        </w:rPr>
      </w:pPr>
      <w:r w:rsidRPr="00E051A2">
        <w:rPr>
          <w:rFonts w:ascii="Times New Roman" w:hAnsi="Times New Roman"/>
          <w:sz w:val="20"/>
        </w:rPr>
        <w:t>R4-200</w:t>
      </w:r>
      <w:r w:rsidR="00744952">
        <w:rPr>
          <w:rFonts w:ascii="Times New Roman" w:hAnsi="Times New Roman"/>
          <w:sz w:val="20"/>
        </w:rPr>
        <w:t>8001</w:t>
      </w:r>
      <w:r w:rsidRPr="00E051A2">
        <w:rPr>
          <w:rFonts w:ascii="Times New Roman" w:hAnsi="Times New Roman"/>
          <w:sz w:val="20"/>
        </w:rPr>
        <w:t xml:space="preserve">, Applicability of 2-step </w:t>
      </w:r>
      <w:r w:rsidR="00D6530A">
        <w:rPr>
          <w:rFonts w:ascii="Times New Roman" w:hAnsi="Times New Roman"/>
          <w:sz w:val="20"/>
        </w:rPr>
        <w:t xml:space="preserve">RA </w:t>
      </w:r>
      <w:r w:rsidR="00BA47B2">
        <w:rPr>
          <w:rFonts w:ascii="Times New Roman" w:hAnsi="Times New Roman"/>
          <w:sz w:val="20"/>
        </w:rPr>
        <w:t xml:space="preserve">and 4-step </w:t>
      </w:r>
      <w:r w:rsidRPr="00E051A2">
        <w:rPr>
          <w:rFonts w:ascii="Times New Roman" w:hAnsi="Times New Roman"/>
          <w:sz w:val="20"/>
        </w:rPr>
        <w:t>RA in RRM requirements in 38.133, Ericsson</w:t>
      </w:r>
    </w:p>
    <w:p w14:paraId="3F1B1BB7" w14:textId="35D3E7DF" w:rsidR="002630E0" w:rsidRPr="00E051A2" w:rsidRDefault="00E051A2" w:rsidP="00E051A2">
      <w:pPr>
        <w:pStyle w:val="ListParagraph"/>
        <w:numPr>
          <w:ilvl w:val="0"/>
          <w:numId w:val="4"/>
        </w:numPr>
        <w:spacing w:before="120"/>
        <w:ind w:left="357" w:hanging="357"/>
        <w:contextualSpacing w:val="0"/>
        <w:rPr>
          <w:rFonts w:ascii="Times New Roman" w:hAnsi="Times New Roman"/>
          <w:sz w:val="20"/>
        </w:rPr>
      </w:pPr>
      <w:r w:rsidRPr="00E051A2">
        <w:rPr>
          <w:rFonts w:ascii="Times New Roman" w:hAnsi="Times New Roman"/>
          <w:sz w:val="20"/>
        </w:rPr>
        <w:t>R4-200</w:t>
      </w:r>
      <w:r w:rsidR="00744952">
        <w:rPr>
          <w:rFonts w:ascii="Times New Roman" w:hAnsi="Times New Roman"/>
          <w:sz w:val="20"/>
        </w:rPr>
        <w:t>8002</w:t>
      </w:r>
      <w:r w:rsidRPr="00E051A2">
        <w:rPr>
          <w:rFonts w:ascii="Times New Roman" w:hAnsi="Times New Roman"/>
          <w:sz w:val="20"/>
        </w:rPr>
        <w:t xml:space="preserve">, </w:t>
      </w:r>
      <w:bookmarkStart w:id="4" w:name="_GoBack"/>
      <w:bookmarkEnd w:id="4"/>
      <w:r w:rsidRPr="00E051A2">
        <w:rPr>
          <w:rFonts w:ascii="Times New Roman" w:hAnsi="Times New Roman"/>
          <w:sz w:val="20"/>
        </w:rPr>
        <w:t xml:space="preserve">Applicability of 2-step </w:t>
      </w:r>
      <w:r w:rsidR="00D6530A">
        <w:rPr>
          <w:rFonts w:ascii="Times New Roman" w:hAnsi="Times New Roman"/>
          <w:sz w:val="20"/>
        </w:rPr>
        <w:t xml:space="preserve">RA </w:t>
      </w:r>
      <w:r w:rsidR="00BA47B2">
        <w:rPr>
          <w:rFonts w:ascii="Times New Roman" w:hAnsi="Times New Roman"/>
          <w:sz w:val="20"/>
        </w:rPr>
        <w:t xml:space="preserve">and 4-step </w:t>
      </w:r>
      <w:r w:rsidR="00BA47B2" w:rsidRPr="00E051A2">
        <w:rPr>
          <w:rFonts w:ascii="Times New Roman" w:hAnsi="Times New Roman"/>
          <w:sz w:val="20"/>
        </w:rPr>
        <w:t xml:space="preserve">RA </w:t>
      </w:r>
      <w:r w:rsidRPr="00E051A2">
        <w:rPr>
          <w:rFonts w:ascii="Times New Roman" w:hAnsi="Times New Roman"/>
          <w:sz w:val="20"/>
        </w:rPr>
        <w:t>in RRM requirements in 36.133, Ericsson</w:t>
      </w:r>
    </w:p>
    <w:sectPr w:rsidR="002630E0" w:rsidRPr="00E051A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7D765" w14:textId="77777777" w:rsidR="00143422" w:rsidRDefault="00143422">
      <w:r>
        <w:separator/>
      </w:r>
    </w:p>
  </w:endnote>
  <w:endnote w:type="continuationSeparator" w:id="0">
    <w:p w14:paraId="2C6171FA" w14:textId="77777777" w:rsidR="00143422" w:rsidRDefault="0014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92746" w14:textId="77777777" w:rsidR="00143422" w:rsidRDefault="00143422">
      <w:r>
        <w:separator/>
      </w:r>
    </w:p>
  </w:footnote>
  <w:footnote w:type="continuationSeparator" w:id="0">
    <w:p w14:paraId="6B166F0A" w14:textId="77777777" w:rsidR="00143422" w:rsidRDefault="00143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13"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7"/>
  </w:num>
  <w:num w:numId="2">
    <w:abstractNumId w:val="4"/>
  </w:num>
  <w:num w:numId="3">
    <w:abstractNumId w:val="20"/>
  </w:num>
  <w:num w:numId="4">
    <w:abstractNumId w:val="0"/>
  </w:num>
  <w:num w:numId="5">
    <w:abstractNumId w:val="10"/>
  </w:num>
  <w:num w:numId="6">
    <w:abstractNumId w:val="19"/>
  </w:num>
  <w:num w:numId="7">
    <w:abstractNumId w:val="16"/>
  </w:num>
  <w:num w:numId="8">
    <w:abstractNumId w:val="14"/>
  </w:num>
  <w:num w:numId="9">
    <w:abstractNumId w:val="3"/>
  </w:num>
  <w:num w:numId="10">
    <w:abstractNumId w:val="9"/>
  </w:num>
  <w:num w:numId="11">
    <w:abstractNumId w:val="5"/>
  </w:num>
  <w:num w:numId="12">
    <w:abstractNumId w:val="7"/>
  </w:num>
  <w:num w:numId="13">
    <w:abstractNumId w:val="8"/>
  </w:num>
  <w:num w:numId="14">
    <w:abstractNumId w:val="2"/>
  </w:num>
  <w:num w:numId="15">
    <w:abstractNumId w:val="1"/>
  </w:num>
  <w:num w:numId="16">
    <w:abstractNumId w:val="15"/>
  </w:num>
  <w:num w:numId="17">
    <w:abstractNumId w:val="6"/>
  </w:num>
  <w:num w:numId="18">
    <w:abstractNumId w:val="18"/>
  </w:num>
  <w:num w:numId="19">
    <w:abstractNumId w:val="13"/>
  </w:num>
  <w:num w:numId="20">
    <w:abstractNumId w:val="12"/>
  </w:num>
  <w:num w:numId="2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4521"/>
    <w:rsid w:val="000E57FF"/>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CC0"/>
    <w:rsid w:val="00122DC3"/>
    <w:rsid w:val="00125366"/>
    <w:rsid w:val="0012598B"/>
    <w:rsid w:val="00126681"/>
    <w:rsid w:val="001269F1"/>
    <w:rsid w:val="00130702"/>
    <w:rsid w:val="001308C8"/>
    <w:rsid w:val="00130DBF"/>
    <w:rsid w:val="00131250"/>
    <w:rsid w:val="001314A3"/>
    <w:rsid w:val="001319E4"/>
    <w:rsid w:val="00132F9E"/>
    <w:rsid w:val="00133D75"/>
    <w:rsid w:val="001356A2"/>
    <w:rsid w:val="00136422"/>
    <w:rsid w:val="00136C3B"/>
    <w:rsid w:val="00136FAC"/>
    <w:rsid w:val="001403A2"/>
    <w:rsid w:val="00141163"/>
    <w:rsid w:val="00141583"/>
    <w:rsid w:val="00141A06"/>
    <w:rsid w:val="00141B59"/>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74E"/>
    <w:rsid w:val="00205CF3"/>
    <w:rsid w:val="00205E08"/>
    <w:rsid w:val="00206057"/>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70CF"/>
    <w:rsid w:val="003C7222"/>
    <w:rsid w:val="003C7BB8"/>
    <w:rsid w:val="003C7D32"/>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7D"/>
    <w:rsid w:val="0048071D"/>
    <w:rsid w:val="0048093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20BE"/>
    <w:rsid w:val="00504CAE"/>
    <w:rsid w:val="00504FEB"/>
    <w:rsid w:val="00505999"/>
    <w:rsid w:val="00506C4B"/>
    <w:rsid w:val="0050749F"/>
    <w:rsid w:val="005076BB"/>
    <w:rsid w:val="00507A5C"/>
    <w:rsid w:val="005105B3"/>
    <w:rsid w:val="00510914"/>
    <w:rsid w:val="005118F8"/>
    <w:rsid w:val="00512179"/>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9D8"/>
    <w:rsid w:val="005B0B61"/>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C01"/>
    <w:rsid w:val="0064151D"/>
    <w:rsid w:val="0064251E"/>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659"/>
    <w:rsid w:val="007648DC"/>
    <w:rsid w:val="00765685"/>
    <w:rsid w:val="007658AE"/>
    <w:rsid w:val="0076591D"/>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11D"/>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B00E0"/>
    <w:rsid w:val="008B0E8E"/>
    <w:rsid w:val="008B10C2"/>
    <w:rsid w:val="008B11F8"/>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390D"/>
    <w:rsid w:val="00915F9C"/>
    <w:rsid w:val="009161D4"/>
    <w:rsid w:val="009176E4"/>
    <w:rsid w:val="00922DE3"/>
    <w:rsid w:val="0092317E"/>
    <w:rsid w:val="009233C5"/>
    <w:rsid w:val="0092453D"/>
    <w:rsid w:val="00924665"/>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390B"/>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2E10"/>
    <w:rsid w:val="009D4B37"/>
    <w:rsid w:val="009D4CCB"/>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796"/>
    <w:rsid w:val="00A028C7"/>
    <w:rsid w:val="00A03A09"/>
    <w:rsid w:val="00A04AD5"/>
    <w:rsid w:val="00A04B0F"/>
    <w:rsid w:val="00A05DE9"/>
    <w:rsid w:val="00A0789F"/>
    <w:rsid w:val="00A07C3C"/>
    <w:rsid w:val="00A10E7C"/>
    <w:rsid w:val="00A11BCD"/>
    <w:rsid w:val="00A1205C"/>
    <w:rsid w:val="00A12257"/>
    <w:rsid w:val="00A12F42"/>
    <w:rsid w:val="00A13060"/>
    <w:rsid w:val="00A144DC"/>
    <w:rsid w:val="00A15D3B"/>
    <w:rsid w:val="00A17FF8"/>
    <w:rsid w:val="00A213E5"/>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177A"/>
    <w:rsid w:val="00A83013"/>
    <w:rsid w:val="00A844E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2805"/>
    <w:rsid w:val="00AA29D5"/>
    <w:rsid w:val="00AA332D"/>
    <w:rsid w:val="00AA3521"/>
    <w:rsid w:val="00AA3750"/>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68BB"/>
    <w:rsid w:val="00BF6E24"/>
    <w:rsid w:val="00BF6F62"/>
    <w:rsid w:val="00C00273"/>
    <w:rsid w:val="00C01284"/>
    <w:rsid w:val="00C02101"/>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A0B"/>
    <w:rsid w:val="00C220B7"/>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60749"/>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144A"/>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BFC"/>
    <w:rsid w:val="00E948DA"/>
    <w:rsid w:val="00E948E6"/>
    <w:rsid w:val="00E95E21"/>
    <w:rsid w:val="00E95EB6"/>
    <w:rsid w:val="00E960B6"/>
    <w:rsid w:val="00E96546"/>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3106"/>
    <w:rsid w:val="00EE32CE"/>
    <w:rsid w:val="00EE3BD7"/>
    <w:rsid w:val="00EE3D1D"/>
    <w:rsid w:val="00EE3DDF"/>
    <w:rsid w:val="00EE5707"/>
    <w:rsid w:val="00EE6163"/>
    <w:rsid w:val="00EE69E2"/>
    <w:rsid w:val="00EE6F57"/>
    <w:rsid w:val="00EE73A2"/>
    <w:rsid w:val="00EE7D7C"/>
    <w:rsid w:val="00EE7DEA"/>
    <w:rsid w:val="00EE7DF1"/>
    <w:rsid w:val="00EF04A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4BCF"/>
    <w:rsid w:val="00F14F8E"/>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723F"/>
    <w:rsid w:val="00F673A0"/>
    <w:rsid w:val="00F67DDA"/>
    <w:rsid w:val="00F71DA2"/>
    <w:rsid w:val="00F71DAD"/>
    <w:rsid w:val="00F74533"/>
    <w:rsid w:val="00F75299"/>
    <w:rsid w:val="00F7792E"/>
    <w:rsid w:val="00F80396"/>
    <w:rsid w:val="00F806BB"/>
    <w:rsid w:val="00F824CE"/>
    <w:rsid w:val="00F83E73"/>
    <w:rsid w:val="00F846B3"/>
    <w:rsid w:val="00F84DC1"/>
    <w:rsid w:val="00F8543F"/>
    <w:rsid w:val="00F859A5"/>
    <w:rsid w:val="00F859D1"/>
    <w:rsid w:val="00F85F14"/>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openxmlformats.org/package/2006/metadata/core-properties"/>
    <ds:schemaRef ds:uri="http://purl.org/dc/dcmitype/"/>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6f846979-0e6f-42ff-8b87-e1893efeda99"/>
    <ds:schemaRef ds:uri="http://schemas.microsoft.com/office/2006/metadata/properties"/>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9E5ABC2A-1672-4594-97AF-B37E55B7F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B886AB-BB63-494D-80F0-E382809D9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2</Pages>
  <Words>565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83</cp:revision>
  <cp:lastPrinted>1899-12-31T23:00:00Z</cp:lastPrinted>
  <dcterms:created xsi:type="dcterms:W3CDTF">2020-04-07T15:26:00Z</dcterms:created>
  <dcterms:modified xsi:type="dcterms:W3CDTF">2020-05-15T17:05:00Z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